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1A" w:rsidRDefault="00A5171A" w:rsidP="00A5171A">
      <w:pPr>
        <w:spacing w:after="0" w:line="240" w:lineRule="auto"/>
        <w:rPr>
          <w:color w:val="00000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A5171A" w:rsidRDefault="00A5171A" w:rsidP="00A5171A">
      <w:pPr>
        <w:jc w:val="both"/>
      </w:pPr>
      <w:r w:rsidRPr="00F34BBE">
        <w:drawing>
          <wp:inline distT="0" distB="0" distL="0" distR="0">
            <wp:extent cx="6120130" cy="1151646"/>
            <wp:effectExtent l="19050" t="0" r="0" b="0"/>
            <wp:docPr id="3" name="Immagine 1" descr="cid:image003.jpg@01CF7378.AF2B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7378.AF2B162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5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71A" w:rsidRPr="00F34BBE" w:rsidRDefault="00A5171A" w:rsidP="00A5171A">
      <w:pPr>
        <w:tabs>
          <w:tab w:val="left" w:pos="2613"/>
        </w:tabs>
        <w:jc w:val="center"/>
        <w:rPr>
          <w:b/>
          <w:sz w:val="36"/>
          <w:szCs w:val="36"/>
        </w:rPr>
      </w:pPr>
      <w:r w:rsidRPr="00F34BBE">
        <w:rPr>
          <w:b/>
          <w:sz w:val="36"/>
          <w:szCs w:val="36"/>
        </w:rPr>
        <w:t>SCHEDA FONDI STRUTTURALI</w:t>
      </w:r>
    </w:p>
    <w:p w:rsidR="00A5171A" w:rsidRDefault="00A5171A" w:rsidP="00A5171A">
      <w:r w:rsidRPr="00934E7C">
        <w:rPr>
          <w:b/>
          <w:sz w:val="26"/>
          <w:szCs w:val="26"/>
        </w:rPr>
        <w:t xml:space="preserve">COSA SONO I FONDI STRUTTURALI: </w:t>
      </w:r>
      <w:r w:rsidRPr="00934E7C">
        <w:rPr>
          <w:b/>
          <w:sz w:val="26"/>
          <w:szCs w:val="26"/>
        </w:rPr>
        <w:br/>
      </w:r>
      <w:r w:rsidRPr="00625032">
        <w:t xml:space="preserve">I </w:t>
      </w:r>
      <w:r>
        <w:t>F</w:t>
      </w:r>
      <w:r w:rsidRPr="00625032">
        <w:t xml:space="preserve">ondi strutturali sono gli strumenti di intervento </w:t>
      </w:r>
      <w:r>
        <w:t>che l’</w:t>
      </w:r>
      <w:r w:rsidRPr="00625032">
        <w:t xml:space="preserve">Unione europea </w:t>
      </w:r>
      <w:r>
        <w:t xml:space="preserve">ha messo in campo </w:t>
      </w:r>
      <w:r w:rsidRPr="00625032">
        <w:t xml:space="preserve">per finanziare </w:t>
      </w:r>
      <w:r>
        <w:t>diversi</w:t>
      </w:r>
      <w:r w:rsidRPr="00625032">
        <w:t xml:space="preserve"> progetti di sviluppo a</w:t>
      </w:r>
      <w:r>
        <w:t xml:space="preserve">ll'interno dell’Unione europea, con il triplice obiettivo di </w:t>
      </w:r>
      <w:r w:rsidRPr="00625032">
        <w:t>ridu</w:t>
      </w:r>
      <w:r>
        <w:t xml:space="preserve">rre </w:t>
      </w:r>
      <w:r w:rsidRPr="00625032">
        <w:t>le disparità regionali in termini di ricchezza e benessere, aument</w:t>
      </w:r>
      <w:r>
        <w:t>are</w:t>
      </w:r>
      <w:r w:rsidRPr="00625032">
        <w:t xml:space="preserve"> la competitività e </w:t>
      </w:r>
      <w:r>
        <w:t>l’occupazione, e soste</w:t>
      </w:r>
      <w:r w:rsidRPr="00625032">
        <w:t>n</w:t>
      </w:r>
      <w:r>
        <w:t xml:space="preserve">ere </w:t>
      </w:r>
      <w:r w:rsidRPr="00625032">
        <w:t xml:space="preserve">la cooperazione transfrontaliera. </w:t>
      </w:r>
      <w:r>
        <w:t>I Fondi</w:t>
      </w:r>
      <w:r w:rsidRPr="00625032">
        <w:t xml:space="preserve"> contribuiscono all’obiettivo della coesione economica, sociale e territoriale.</w:t>
      </w:r>
    </w:p>
    <w:p w:rsidR="00A5171A" w:rsidRPr="00E22216" w:rsidRDefault="00A5171A" w:rsidP="00A5171A">
      <w:pPr>
        <w:rPr>
          <w:b/>
        </w:rPr>
      </w:pPr>
      <w:r w:rsidRPr="00934E7C">
        <w:rPr>
          <w:b/>
          <w:sz w:val="26"/>
          <w:szCs w:val="26"/>
        </w:rPr>
        <w:t xml:space="preserve">I NUMERI DEI FONDI STRUTTURALI: </w:t>
      </w:r>
      <w:r w:rsidRPr="00934E7C">
        <w:rPr>
          <w:b/>
          <w:sz w:val="26"/>
          <w:szCs w:val="26"/>
        </w:rPr>
        <w:br/>
      </w:r>
      <w:r w:rsidRPr="00E22216">
        <w:rPr>
          <w:b/>
        </w:rPr>
        <w:t xml:space="preserve">In Europa: </w:t>
      </w:r>
    </w:p>
    <w:p w:rsidR="00A5171A" w:rsidRDefault="00A5171A" w:rsidP="00A5171A">
      <w:pPr>
        <w:pStyle w:val="Paragrafoelenco"/>
        <w:numPr>
          <w:ilvl w:val="0"/>
          <w:numId w:val="1"/>
        </w:numPr>
      </w:pPr>
      <w:r w:rsidRPr="00625032">
        <w:t xml:space="preserve">Per il periodo </w:t>
      </w:r>
      <w:r w:rsidRPr="00A343EE">
        <w:rPr>
          <w:b/>
          <w:i/>
        </w:rPr>
        <w:t>2007-2013</w:t>
      </w:r>
      <w:r w:rsidRPr="00625032">
        <w:t xml:space="preserve">, la dotazione finanziaria assegnata alla politica regionale è </w:t>
      </w:r>
      <w:r>
        <w:t>stata di c</w:t>
      </w:r>
      <w:r w:rsidRPr="00625032">
        <w:t xml:space="preserve">irca 348 miliardi di euro, di cui 278 miliardi destinati ai Fondi strutturali e 70 al Fondo di coesione. </w:t>
      </w:r>
      <w:r>
        <w:t xml:space="preserve">Un </w:t>
      </w:r>
      <w:r w:rsidRPr="00625032">
        <w:t xml:space="preserve">importo </w:t>
      </w:r>
      <w:r>
        <w:t xml:space="preserve">che ha rappresentato </w:t>
      </w:r>
      <w:r w:rsidRPr="00625032">
        <w:t xml:space="preserve">il </w:t>
      </w:r>
      <w:r w:rsidRPr="00C138FF">
        <w:rPr>
          <w:b/>
        </w:rPr>
        <w:t>35%</w:t>
      </w:r>
      <w:r w:rsidRPr="00625032">
        <w:t xml:space="preserve"> del bilancio comunitario.</w:t>
      </w:r>
    </w:p>
    <w:p w:rsidR="00A5171A" w:rsidRDefault="00A5171A" w:rsidP="00A5171A">
      <w:pPr>
        <w:pStyle w:val="Paragrafoelenco"/>
        <w:numPr>
          <w:ilvl w:val="0"/>
          <w:numId w:val="1"/>
        </w:numPr>
      </w:pPr>
      <w:r w:rsidRPr="00625032">
        <w:t xml:space="preserve">Per il periodo </w:t>
      </w:r>
      <w:r w:rsidRPr="00A343EE">
        <w:rPr>
          <w:b/>
          <w:i/>
        </w:rPr>
        <w:t>2014-2020</w:t>
      </w:r>
      <w:r w:rsidRPr="00625032">
        <w:t xml:space="preserve">, </w:t>
      </w:r>
      <w:r>
        <w:t xml:space="preserve"> </w:t>
      </w:r>
      <w:r w:rsidRPr="00625032">
        <w:t xml:space="preserve">la dotazione finanziaria assegnata alla politica regionale è </w:t>
      </w:r>
      <w:r>
        <w:t>stata di c</w:t>
      </w:r>
      <w:r w:rsidRPr="00625032">
        <w:t>irca 3</w:t>
      </w:r>
      <w:r>
        <w:t xml:space="preserve">52 miliardi di euro. </w:t>
      </w:r>
      <w:r w:rsidRPr="00625032">
        <w:t xml:space="preserve"> </w:t>
      </w:r>
      <w:r>
        <w:t xml:space="preserve">Un </w:t>
      </w:r>
      <w:r w:rsidRPr="00625032">
        <w:t xml:space="preserve">importo </w:t>
      </w:r>
      <w:r>
        <w:t xml:space="preserve">che rappresenta </w:t>
      </w:r>
      <w:r w:rsidRPr="00625032">
        <w:t xml:space="preserve">il </w:t>
      </w:r>
      <w:r w:rsidRPr="00C138FF">
        <w:rPr>
          <w:b/>
        </w:rPr>
        <w:t>36%</w:t>
      </w:r>
      <w:r w:rsidRPr="00625032">
        <w:t xml:space="preserve"> del bilancio comunitario.</w:t>
      </w:r>
    </w:p>
    <w:p w:rsidR="00A5171A" w:rsidRPr="0057743B" w:rsidRDefault="00A5171A" w:rsidP="00A5171A">
      <w:r w:rsidRPr="00E22216">
        <w:rPr>
          <w:b/>
        </w:rPr>
        <w:t xml:space="preserve">In Italia: </w:t>
      </w:r>
      <w:r w:rsidRPr="00E22216">
        <w:rPr>
          <w:b/>
        </w:rPr>
        <w:br/>
      </w:r>
      <w:r>
        <w:br/>
      </w:r>
      <w:r w:rsidRPr="0057743B">
        <w:t>Il totale di ri</w:t>
      </w:r>
      <w:r>
        <w:t>sorse comunitarie assegnate all’</w:t>
      </w:r>
      <w:r w:rsidRPr="0057743B">
        <w:t xml:space="preserve">Italia è pari a </w:t>
      </w:r>
      <w:r>
        <w:rPr>
          <w:b/>
          <w:bCs/>
        </w:rPr>
        <w:t xml:space="preserve">32.268 </w:t>
      </w:r>
      <w:r w:rsidRPr="0057743B">
        <w:rPr>
          <w:b/>
          <w:bCs/>
        </w:rPr>
        <w:t>milioni di euro</w:t>
      </w:r>
      <w:r w:rsidRPr="0057743B">
        <w:t xml:space="preserve"> (incluse le risorse destinate alla cooperazione territoriale per 1.137 milioni di euro e al </w:t>
      </w:r>
      <w:r>
        <w:t>F</w:t>
      </w:r>
      <w:r w:rsidRPr="0057743B">
        <w:t>ondo per gli indigenti per 659</w:t>
      </w:r>
      <w:r>
        <w:t xml:space="preserve"> </w:t>
      </w:r>
      <w:r w:rsidRPr="0057743B">
        <w:t>milioni di euro) di cui</w:t>
      </w:r>
      <w:r>
        <w:t>:</w:t>
      </w:r>
    </w:p>
    <w:p w:rsidR="00A5171A" w:rsidRPr="0057743B" w:rsidRDefault="00A5171A" w:rsidP="00A5171A">
      <w:pPr>
        <w:pStyle w:val="Paragrafoelenco"/>
        <w:numPr>
          <w:ilvl w:val="0"/>
          <w:numId w:val="1"/>
        </w:numPr>
      </w:pPr>
      <w:r w:rsidRPr="00E22216">
        <w:rPr>
          <w:b/>
        </w:rPr>
        <w:t>7.695 milioni</w:t>
      </w:r>
      <w:r w:rsidRPr="0057743B">
        <w:t xml:space="preserve"> di euro per le Regioni più sviluppate</w:t>
      </w:r>
      <w:r>
        <w:t xml:space="preserve"> </w:t>
      </w:r>
    </w:p>
    <w:p w:rsidR="00A5171A" w:rsidRPr="0057743B" w:rsidRDefault="00A5171A" w:rsidP="00A5171A">
      <w:pPr>
        <w:pStyle w:val="Paragrafoelenco"/>
        <w:numPr>
          <w:ilvl w:val="0"/>
          <w:numId w:val="1"/>
        </w:numPr>
      </w:pPr>
      <w:r w:rsidRPr="00E22216">
        <w:rPr>
          <w:b/>
        </w:rPr>
        <w:t>1.102 milioni</w:t>
      </w:r>
      <w:r w:rsidRPr="0057743B">
        <w:t xml:space="preserve"> di euro per le Regioni in transizione</w:t>
      </w:r>
    </w:p>
    <w:p w:rsidR="00A5171A" w:rsidRDefault="00A5171A" w:rsidP="00A5171A">
      <w:pPr>
        <w:pStyle w:val="Paragrafoelenco"/>
        <w:numPr>
          <w:ilvl w:val="0"/>
          <w:numId w:val="1"/>
        </w:numPr>
      </w:pPr>
      <w:r w:rsidRPr="00E22216">
        <w:rPr>
          <w:b/>
        </w:rPr>
        <w:t>22.334 milioni</w:t>
      </w:r>
      <w:r w:rsidRPr="0057743B">
        <w:t xml:space="preserve"> di euro per le Regioni meno sviluppate</w:t>
      </w:r>
    </w:p>
    <w:p w:rsidR="00A5171A" w:rsidRDefault="00A5171A" w:rsidP="00A5171A">
      <w:r>
        <w:t>Inoltre l</w:t>
      </w:r>
      <w:r w:rsidRPr="00E22216">
        <w:t>a Legge di Stabilità</w:t>
      </w:r>
      <w:r>
        <w:t xml:space="preserve"> </w:t>
      </w:r>
      <w:r w:rsidRPr="00E22216">
        <w:t>stanzia significative risorse per il </w:t>
      </w:r>
      <w:r w:rsidRPr="00E22216">
        <w:rPr>
          <w:b/>
          <w:bCs/>
        </w:rPr>
        <w:t>nuovo ciclo di programmazione dei Fondi europei e nazionali per le politiche di coesione territoriale</w:t>
      </w:r>
      <w:r>
        <w:rPr>
          <w:b/>
          <w:bCs/>
        </w:rPr>
        <w:t xml:space="preserve">: </w:t>
      </w:r>
      <w:r>
        <w:t xml:space="preserve"> </w:t>
      </w:r>
    </w:p>
    <w:p w:rsidR="00A5171A" w:rsidRDefault="00A5171A" w:rsidP="00A5171A">
      <w:pPr>
        <w:pStyle w:val="Paragrafoelenco"/>
        <w:numPr>
          <w:ilvl w:val="0"/>
          <w:numId w:val="2"/>
        </w:numPr>
        <w:spacing w:after="0" w:line="240" w:lineRule="auto"/>
        <w:ind w:left="714" w:hanging="357"/>
      </w:pPr>
      <w:r w:rsidRPr="00785139">
        <w:rPr>
          <w:b/>
        </w:rPr>
        <w:t>2</w:t>
      </w:r>
      <w:r w:rsidRPr="00785139">
        <w:rPr>
          <w:b/>
          <w:bCs/>
          <w:iCs/>
        </w:rPr>
        <w:t>4 miliardi</w:t>
      </w:r>
      <w:r w:rsidRPr="00785139">
        <w:rPr>
          <w:bCs/>
          <w:iCs/>
        </w:rPr>
        <w:t xml:space="preserve"> di euro</w:t>
      </w:r>
      <w:r w:rsidRPr="00E22216">
        <w:t> di quota</w:t>
      </w:r>
      <w:r>
        <w:t xml:space="preserve"> di compartecipazione nazionale, cui si aggiunge una piccola quota di compartecipazione regionale</w:t>
      </w:r>
      <w:r>
        <w:br/>
      </w:r>
    </w:p>
    <w:p w:rsidR="00A5171A" w:rsidRDefault="00A5171A" w:rsidP="00A5171A">
      <w:r>
        <w:t xml:space="preserve">Per un importo totale di circa </w:t>
      </w:r>
      <w:r w:rsidRPr="00785139">
        <w:rPr>
          <w:b/>
        </w:rPr>
        <w:t xml:space="preserve">60 miliardi </w:t>
      </w:r>
      <w:r w:rsidRPr="00785139">
        <w:rPr>
          <w:b/>
          <w:bCs/>
          <w:iCs/>
        </w:rPr>
        <w:t>di euro</w:t>
      </w:r>
      <w:r>
        <w:t xml:space="preserve">. </w:t>
      </w:r>
    </w:p>
    <w:p w:rsidR="00A5171A" w:rsidRDefault="00A5171A" w:rsidP="00A5171A">
      <w:r>
        <w:t xml:space="preserve">A questi si aggiungono </w:t>
      </w:r>
      <w:r w:rsidRPr="00E22216">
        <w:rPr>
          <w:bCs/>
          <w:iCs/>
        </w:rPr>
        <w:t xml:space="preserve">ulteriori </w:t>
      </w:r>
      <w:r w:rsidRPr="00E22216">
        <w:rPr>
          <w:b/>
          <w:bCs/>
          <w:iCs/>
        </w:rPr>
        <w:t>55 miliardi</w:t>
      </w:r>
      <w:r w:rsidRPr="00E22216">
        <w:t xml:space="preserve"> per il Fondo per lo Sviluppo e la Coesione (ex Fondo </w:t>
      </w:r>
      <w:proofErr w:type="spellStart"/>
      <w:r w:rsidRPr="00E22216">
        <w:t>Fas</w:t>
      </w:r>
      <w:proofErr w:type="spellEnd"/>
      <w:r w:rsidRPr="00E22216">
        <w:t>), di cui l’80% in favore del Mezzogiorno.</w:t>
      </w:r>
    </w:p>
    <w:p w:rsidR="00457AC6" w:rsidRDefault="00457AC6"/>
    <w:sectPr w:rsidR="00457AC6" w:rsidSect="00F34BBE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2654"/>
    <w:multiLevelType w:val="hybridMultilevel"/>
    <w:tmpl w:val="16E25470"/>
    <w:lvl w:ilvl="0" w:tplc="76644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490"/>
    <w:multiLevelType w:val="hybridMultilevel"/>
    <w:tmpl w:val="1166EBD8"/>
    <w:lvl w:ilvl="0" w:tplc="76644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5171A"/>
    <w:rsid w:val="00457AC6"/>
    <w:rsid w:val="00A5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1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CF7378.AF2B16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2014-05-19T14:15:00Z</dcterms:created>
  <dcterms:modified xsi:type="dcterms:W3CDTF">2014-05-19T14:15:00Z</dcterms:modified>
</cp:coreProperties>
</file>